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09" w:rsidRPr="00A17909" w:rsidRDefault="00A17909" w:rsidP="00A17909">
      <w:pPr>
        <w:jc w:val="center"/>
        <w:rPr>
          <w:b/>
          <w:sz w:val="20"/>
          <w:szCs w:val="20"/>
        </w:rPr>
      </w:pPr>
      <w:r w:rsidRPr="00A17909">
        <w:rPr>
          <w:b/>
          <w:sz w:val="20"/>
          <w:szCs w:val="20"/>
        </w:rPr>
        <w:t>МУНИЦИПАЛЬНОЕ АВТОНОМНОЕ ОБРАЗОВАТЕЛЬНОЕ УЧРЕЖДЕНИЕ ДОПОЛНИТЕЛЬНОГО ОБРАЗОВАНИЯ   «БИЛИБИНСКИЙ РАЙОННЫЙ ЦЕНТР ДОПОЛНИТЕЛЬНОГО ОБРАЗОВАНИЯ»</w:t>
      </w:r>
    </w:p>
    <w:p w:rsidR="00A17909" w:rsidRPr="00A17909" w:rsidRDefault="00A17909" w:rsidP="00A17909">
      <w:pPr>
        <w:jc w:val="center"/>
        <w:rPr>
          <w:sz w:val="20"/>
          <w:szCs w:val="20"/>
        </w:rPr>
      </w:pPr>
      <w:r w:rsidRPr="00A17909">
        <w:rPr>
          <w:sz w:val="20"/>
          <w:szCs w:val="20"/>
        </w:rPr>
        <w:t xml:space="preserve">689450 ЧАО г. </w:t>
      </w:r>
      <w:proofErr w:type="spellStart"/>
      <w:r w:rsidRPr="00A17909">
        <w:rPr>
          <w:sz w:val="20"/>
          <w:szCs w:val="20"/>
        </w:rPr>
        <w:t>Билибино</w:t>
      </w:r>
      <w:proofErr w:type="spellEnd"/>
      <w:r w:rsidRPr="00A17909">
        <w:rPr>
          <w:sz w:val="20"/>
          <w:szCs w:val="20"/>
        </w:rPr>
        <w:t>, ул. Ленина 13, Тел. 2-44-37 Факс. 2-44-37,</w:t>
      </w:r>
      <w:r w:rsidRPr="00A17909">
        <w:rPr>
          <w:sz w:val="20"/>
          <w:szCs w:val="20"/>
          <w:lang w:val="en-US"/>
        </w:rPr>
        <w:t>e</w:t>
      </w:r>
      <w:r w:rsidRPr="00A17909">
        <w:rPr>
          <w:sz w:val="20"/>
          <w:szCs w:val="20"/>
        </w:rPr>
        <w:t>-</w:t>
      </w:r>
      <w:r w:rsidRPr="00A17909">
        <w:rPr>
          <w:sz w:val="20"/>
          <w:szCs w:val="20"/>
          <w:lang w:val="en-US"/>
        </w:rPr>
        <w:t>mail</w:t>
      </w:r>
      <w:r w:rsidRPr="00A17909">
        <w:rPr>
          <w:sz w:val="20"/>
          <w:szCs w:val="20"/>
        </w:rPr>
        <w:t xml:space="preserve">: </w:t>
      </w:r>
      <w:hyperlink r:id="rId5" w:history="1">
        <w:r w:rsidRPr="00A17909">
          <w:rPr>
            <w:color w:val="0000FF"/>
            <w:sz w:val="20"/>
            <w:szCs w:val="20"/>
            <w:u w:val="single"/>
            <w:lang w:val="en-US"/>
          </w:rPr>
          <w:t>cdt</w:t>
        </w:r>
        <w:r w:rsidRPr="00A17909">
          <w:rPr>
            <w:color w:val="0000FF"/>
            <w:sz w:val="20"/>
            <w:szCs w:val="20"/>
            <w:u w:val="single"/>
          </w:rPr>
          <w:t>-</w:t>
        </w:r>
        <w:r w:rsidRPr="00A17909">
          <w:rPr>
            <w:color w:val="0000FF"/>
            <w:sz w:val="20"/>
            <w:szCs w:val="20"/>
            <w:u w:val="single"/>
            <w:lang w:val="en-US"/>
          </w:rPr>
          <w:t>HH</w:t>
        </w:r>
        <w:r w:rsidRPr="00A17909">
          <w:rPr>
            <w:color w:val="0000FF"/>
            <w:sz w:val="20"/>
            <w:szCs w:val="20"/>
            <w:u w:val="single"/>
          </w:rPr>
          <w:t>@</w:t>
        </w:r>
        <w:r w:rsidRPr="00A17909">
          <w:rPr>
            <w:color w:val="0000FF"/>
            <w:sz w:val="20"/>
            <w:szCs w:val="20"/>
            <w:u w:val="single"/>
            <w:lang w:val="en-US"/>
          </w:rPr>
          <w:t>mail</w:t>
        </w:r>
        <w:r w:rsidRPr="00A17909">
          <w:rPr>
            <w:color w:val="0000FF"/>
            <w:sz w:val="20"/>
            <w:szCs w:val="20"/>
            <w:u w:val="single"/>
          </w:rPr>
          <w:t>.</w:t>
        </w:r>
        <w:r w:rsidRPr="00A17909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A17909">
        <w:rPr>
          <w:sz w:val="20"/>
          <w:szCs w:val="20"/>
        </w:rPr>
        <w:t>,</w:t>
      </w:r>
    </w:p>
    <w:p w:rsidR="00A17909" w:rsidRPr="00A17909" w:rsidRDefault="00A17909" w:rsidP="00A17909">
      <w:pPr>
        <w:jc w:val="center"/>
        <w:rPr>
          <w:sz w:val="20"/>
          <w:szCs w:val="20"/>
          <w:u w:val="single"/>
        </w:rPr>
      </w:pPr>
      <w:r w:rsidRPr="00A17909">
        <w:rPr>
          <w:sz w:val="20"/>
          <w:szCs w:val="20"/>
          <w:u w:val="single"/>
        </w:rPr>
        <w:t>ИНН 8703002126, КПП 870301001, БИК 047719001, ОКПО 34761880, ОГРН 1028700570106</w:t>
      </w:r>
    </w:p>
    <w:p w:rsidR="00A17909" w:rsidRDefault="00A17909" w:rsidP="00A17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909" w:rsidRDefault="00A17909" w:rsidP="00A17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909" w:rsidRDefault="00A17909" w:rsidP="00A17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909" w:rsidRDefault="00A17909" w:rsidP="00A17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909" w:rsidRPr="008703C7" w:rsidRDefault="00A17909" w:rsidP="00A17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выполнении муниципального задания за </w:t>
      </w:r>
      <w:r w:rsidR="006D15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 2017</w:t>
      </w:r>
      <w:r w:rsidRPr="008703C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703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909" w:rsidRPr="008703C7" w:rsidRDefault="00A17909" w:rsidP="00A17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  <w:gridCol w:w="1418"/>
      </w:tblGrid>
      <w:tr w:rsidR="00A17909" w:rsidRPr="008703C7" w:rsidTr="00DD1CAA"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17909" w:rsidRPr="008703C7" w:rsidTr="00DD1CAA">
        <w:trPr>
          <w:trHeight w:val="9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Чукотского автономного округа: </w:t>
            </w:r>
            <w:r w:rsidRPr="00102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02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02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02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02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дополнительного образования «</w:t>
            </w:r>
            <w:proofErr w:type="spellStart"/>
            <w:r w:rsidRPr="00102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Билибинский</w:t>
            </w:r>
            <w:proofErr w:type="spellEnd"/>
            <w:r w:rsidRPr="00102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районный Центр дополнительного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right"/>
              <w:rPr>
                <w:sz w:val="24"/>
                <w:szCs w:val="24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09" w:rsidRPr="008703C7" w:rsidTr="00DD1CAA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09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Чукотского автономного округа: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22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B72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Реализация дополнительных общеразвивающих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 </w:t>
            </w:r>
          </w:p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09" w:rsidRPr="008703C7" w:rsidTr="00DD1CAA">
        <w:tc>
          <w:tcPr>
            <w:tcW w:w="5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</w:tr>
      <w:tr w:rsidR="00A17909" w:rsidRPr="008703C7" w:rsidTr="00DD1CAA">
        <w:tc>
          <w:tcPr>
            <w:tcW w:w="5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09" w:rsidRPr="00B95A6C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Чукотского автономного </w:t>
            </w:r>
            <w:r w:rsidR="00B23217" w:rsidRPr="008703C7">
              <w:rPr>
                <w:rFonts w:ascii="Times New Roman" w:hAnsi="Times New Roman" w:cs="Times New Roman"/>
                <w:sz w:val="24"/>
                <w:szCs w:val="24"/>
              </w:rPr>
              <w:t xml:space="preserve">округа: </w:t>
            </w:r>
            <w:r w:rsidR="00B2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автономное</w:t>
            </w:r>
          </w:p>
          <w:p w:rsidR="00A17909" w:rsidRPr="008703C7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</w:tr>
      <w:tr w:rsidR="00A17909" w:rsidRPr="008703C7" w:rsidTr="00DD1CAA">
        <w:tc>
          <w:tcPr>
            <w:tcW w:w="5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3C7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17909" w:rsidRPr="008703C7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</w:tr>
    </w:tbl>
    <w:p w:rsidR="00A17909" w:rsidRDefault="00A17909" w:rsidP="00A179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909" w:rsidRDefault="00A17909" w:rsidP="00A179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909" w:rsidRDefault="00A17909" w:rsidP="00A179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909" w:rsidRDefault="00A17909" w:rsidP="00A179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909" w:rsidRDefault="00A17909" w:rsidP="00A17909">
      <w:pPr>
        <w:pStyle w:val="ConsPlusNonformat"/>
        <w:jc w:val="both"/>
      </w:pPr>
    </w:p>
    <w:p w:rsidR="00A17909" w:rsidRDefault="00A17909" w:rsidP="00A17909">
      <w:pPr>
        <w:sectPr w:rsidR="00A17909" w:rsidSect="00BA21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931" w:rsidRDefault="00D11931" w:rsidP="00A1790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7909" w:rsidRPr="00E5443F" w:rsidRDefault="00A17909" w:rsidP="00A1790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5443F">
        <w:rPr>
          <w:rFonts w:ascii="Times New Roman" w:hAnsi="Times New Roman" w:cs="Times New Roman"/>
          <w:b/>
          <w:sz w:val="22"/>
          <w:szCs w:val="22"/>
        </w:rPr>
        <w:t>Часть 1. Сведения об оказываемых муниципальных услугах</w:t>
      </w:r>
    </w:p>
    <w:p w:rsidR="00A17909" w:rsidRPr="00E5443F" w:rsidRDefault="00A17909" w:rsidP="00A1790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443F">
        <w:rPr>
          <w:rFonts w:ascii="Times New Roman" w:hAnsi="Times New Roman" w:cs="Times New Roman"/>
          <w:b/>
          <w:sz w:val="22"/>
          <w:szCs w:val="22"/>
        </w:rPr>
        <w:t>Раздел  1</w:t>
      </w:r>
      <w:r>
        <w:rPr>
          <w:rFonts w:ascii="Times New Roman" w:hAnsi="Times New Roman" w:cs="Times New Roman"/>
          <w:b/>
        </w:rPr>
        <w:t xml:space="preserve"> </w:t>
      </w:r>
    </w:p>
    <w:p w:rsidR="00A17909" w:rsidRPr="00E5443F" w:rsidRDefault="00A17909" w:rsidP="00A1790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37" w:type="dxa"/>
        <w:tblLook w:val="04A0" w:firstRow="1" w:lastRow="0" w:firstColumn="1" w:lastColumn="0" w:noHBand="0" w:noVBand="1"/>
      </w:tblPr>
      <w:tblGrid>
        <w:gridCol w:w="9210"/>
        <w:gridCol w:w="3201"/>
        <w:gridCol w:w="2526"/>
      </w:tblGrid>
      <w:tr w:rsidR="00A17909" w:rsidRPr="00C93428" w:rsidTr="00DD1CAA">
        <w:trPr>
          <w:trHeight w:val="736"/>
        </w:trPr>
        <w:tc>
          <w:tcPr>
            <w:tcW w:w="9464" w:type="dxa"/>
            <w:shd w:val="clear" w:color="auto" w:fill="auto"/>
          </w:tcPr>
          <w:p w:rsidR="00A17909" w:rsidRPr="00C93428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428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услуги: </w:t>
            </w:r>
            <w:r w:rsidRPr="00C9342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Организация и проведение олимпиа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д, конкурсов, мероприятий, направ</w:t>
            </w:r>
            <w:r w:rsidRPr="00C9342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ленных на выявление и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развитие у обучающихся интеллектуальных и творческих способностей, спо</w:t>
            </w:r>
            <w:r w:rsidRPr="00C9342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собностей к занятиям физической культурой и спортом, интер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еса к научной (научно-исследовательской) деятельности, творче</w:t>
            </w:r>
            <w:r w:rsidRPr="00C9342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ской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деятельности, физкультур</w:t>
            </w:r>
            <w:r w:rsidRPr="00C9342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но-спортивной деятельности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17909" w:rsidRPr="00C93428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428">
              <w:rPr>
                <w:rFonts w:ascii="Times New Roman" w:hAnsi="Times New Roman" w:cs="Times New Roman"/>
                <w:sz w:val="22"/>
                <w:szCs w:val="22"/>
              </w:rPr>
              <w:t>Уникальный номер</w:t>
            </w:r>
          </w:p>
          <w:p w:rsidR="00A17909" w:rsidRPr="00C93428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428">
              <w:rPr>
                <w:rFonts w:ascii="Times New Roman" w:hAnsi="Times New Roman" w:cs="Times New Roman"/>
                <w:sz w:val="22"/>
                <w:szCs w:val="22"/>
              </w:rPr>
              <w:t xml:space="preserve">по базовому </w:t>
            </w:r>
          </w:p>
          <w:p w:rsidR="00A17909" w:rsidRPr="00C93428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428">
              <w:rPr>
                <w:rFonts w:ascii="Times New Roman" w:hAnsi="Times New Roman" w:cs="Times New Roman"/>
                <w:sz w:val="22"/>
                <w:szCs w:val="22"/>
              </w:rPr>
              <w:t>(отраслевому)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909" w:rsidRPr="00C93428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428">
              <w:rPr>
                <w:rFonts w:ascii="Times New Roman" w:hAnsi="Times New Roman" w:cs="Times New Roman"/>
                <w:sz w:val="22"/>
                <w:szCs w:val="22"/>
              </w:rPr>
              <w:t xml:space="preserve">110341000000000005100 </w:t>
            </w:r>
          </w:p>
        </w:tc>
      </w:tr>
    </w:tbl>
    <w:p w:rsidR="00A17909" w:rsidRPr="00C93428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93428"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</w:t>
      </w:r>
      <w:r w:rsidRPr="00C93428">
        <w:rPr>
          <w:rFonts w:ascii="Times New Roman" w:hAnsi="Times New Roman" w:cs="Times New Roman"/>
          <w:sz w:val="22"/>
          <w:szCs w:val="22"/>
          <w:u w:val="single"/>
        </w:rPr>
        <w:t>физические лица.</w:t>
      </w:r>
    </w:p>
    <w:p w:rsidR="00A17909" w:rsidRPr="00C93428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28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p w:rsidR="00A17909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3428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услуги:</w:t>
      </w:r>
    </w:p>
    <w:p w:rsidR="00D11931" w:rsidRPr="00C93428" w:rsidRDefault="00D11931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452"/>
        <w:gridCol w:w="1417"/>
        <w:gridCol w:w="1559"/>
        <w:gridCol w:w="1559"/>
        <w:gridCol w:w="1417"/>
        <w:gridCol w:w="1562"/>
        <w:gridCol w:w="1167"/>
        <w:gridCol w:w="832"/>
        <w:gridCol w:w="1345"/>
      </w:tblGrid>
      <w:tr w:rsidR="00A17909" w:rsidRPr="00E5443F" w:rsidTr="00DD1CAA">
        <w:tc>
          <w:tcPr>
            <w:tcW w:w="586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800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A17909" w:rsidRPr="00E5443F" w:rsidTr="00DD1CAA">
        <w:tc>
          <w:tcPr>
            <w:tcW w:w="586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E5443F">
              <w:rPr>
                <w:sz w:val="20"/>
                <w:szCs w:val="20"/>
              </w:rPr>
              <w:t>ние показателя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E5443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2016 год</w:t>
            </w:r>
          </w:p>
        </w:tc>
      </w:tr>
      <w:tr w:rsidR="00A17909" w:rsidRPr="00E5443F" w:rsidTr="00DD1CAA">
        <w:tc>
          <w:tcPr>
            <w:tcW w:w="586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46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909" w:rsidRPr="00E5443F" w:rsidTr="00DD1CAA">
        <w:tc>
          <w:tcPr>
            <w:tcW w:w="586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10</w:t>
            </w:r>
          </w:p>
        </w:tc>
      </w:tr>
      <w:tr w:rsidR="00A17909" w:rsidRPr="00E5443F" w:rsidTr="00DD1CAA">
        <w:trPr>
          <w:trHeight w:val="1128"/>
        </w:trPr>
        <w:tc>
          <w:tcPr>
            <w:tcW w:w="586" w:type="pct"/>
            <w:shd w:val="clear" w:color="auto" w:fill="auto"/>
            <w:vAlign w:val="center"/>
          </w:tcPr>
          <w:p w:rsidR="00A17909" w:rsidRPr="0049437C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37C">
              <w:rPr>
                <w:rFonts w:ascii="Times New Roman" w:hAnsi="Times New Roman" w:cs="Times New Roman"/>
              </w:rPr>
              <w:t>87030096298703010011103410000000000000510110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создание условий для организации и проведени</w:t>
            </w:r>
            <w:r>
              <w:rPr>
                <w:rFonts w:ascii="Times New Roman" w:hAnsi="Times New Roman" w:cs="Times New Roman"/>
              </w:rPr>
              <w:t>е олимпиад, конкурсов, мероприятий, направ</w:t>
            </w:r>
            <w:r w:rsidRPr="00E5443F">
              <w:rPr>
                <w:rFonts w:ascii="Times New Roman" w:hAnsi="Times New Roman" w:cs="Times New Roman"/>
              </w:rPr>
              <w:t xml:space="preserve">ленных на выявление и развитие у обучающихся </w:t>
            </w:r>
            <w:proofErr w:type="spellStart"/>
            <w:proofErr w:type="gramStart"/>
            <w:r w:rsidRPr="00E5443F">
              <w:rPr>
                <w:rFonts w:ascii="Times New Roman" w:hAnsi="Times New Roman" w:cs="Times New Roman"/>
              </w:rPr>
              <w:t>интеллек</w:t>
            </w:r>
            <w:r>
              <w:rPr>
                <w:rFonts w:ascii="Times New Roman" w:hAnsi="Times New Roman" w:cs="Times New Roman"/>
              </w:rPr>
              <w:t>-туальных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творческих способно</w:t>
            </w:r>
            <w:r w:rsidRPr="00E5443F">
              <w:rPr>
                <w:rFonts w:ascii="Times New Roman" w:hAnsi="Times New Roman" w:cs="Times New Roman"/>
              </w:rPr>
              <w:t xml:space="preserve">стей, </w:t>
            </w:r>
            <w:proofErr w:type="spellStart"/>
            <w:r w:rsidRPr="00E5443F">
              <w:rPr>
                <w:rFonts w:ascii="Times New Roman" w:hAnsi="Times New Roman" w:cs="Times New Roman"/>
              </w:rPr>
              <w:t>спо-собностей</w:t>
            </w:r>
            <w:proofErr w:type="spellEnd"/>
            <w:r w:rsidRPr="00E5443F">
              <w:rPr>
                <w:rFonts w:ascii="Times New Roman" w:hAnsi="Times New Roman" w:cs="Times New Roman"/>
              </w:rPr>
              <w:t xml:space="preserve"> к занятиям физической культурой и спортом, интер</w:t>
            </w:r>
            <w:r>
              <w:rPr>
                <w:rFonts w:ascii="Times New Roman" w:hAnsi="Times New Roman" w:cs="Times New Roman"/>
              </w:rPr>
              <w:t>еса к научной (научно-исследовательской) деятельно</w:t>
            </w:r>
            <w:r w:rsidRPr="00E5443F">
              <w:rPr>
                <w:rFonts w:ascii="Times New Roman" w:hAnsi="Times New Roman" w:cs="Times New Roman"/>
              </w:rPr>
              <w:t xml:space="preserve">сти, </w:t>
            </w:r>
            <w:proofErr w:type="spellStart"/>
            <w:r w:rsidRPr="00E5443F">
              <w:rPr>
                <w:rFonts w:ascii="Times New Roman" w:hAnsi="Times New Roman" w:cs="Times New Roman"/>
              </w:rPr>
              <w:t>тв</w:t>
            </w:r>
            <w:r>
              <w:rPr>
                <w:rFonts w:ascii="Times New Roman" w:hAnsi="Times New Roman" w:cs="Times New Roman"/>
              </w:rPr>
              <w:t>орче-ской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деятельности, физкультур</w:t>
            </w:r>
            <w:r w:rsidRPr="00E5443F">
              <w:rPr>
                <w:rFonts w:ascii="Times New Roman" w:hAnsi="Times New Roman" w:cs="Times New Roman"/>
              </w:rPr>
              <w:t>но-спортивной деятельности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 Не установлено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110341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-</w:t>
            </w:r>
          </w:p>
        </w:tc>
      </w:tr>
    </w:tbl>
    <w:p w:rsidR="00A17909" w:rsidRPr="00E5443F" w:rsidRDefault="00A17909" w:rsidP="00A1790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5443F">
        <w:rPr>
          <w:rFonts w:ascii="Times New Roman" w:hAnsi="Times New Roman" w:cs="Times New Roman"/>
        </w:rPr>
        <w:t xml:space="preserve"> </w:t>
      </w:r>
    </w:p>
    <w:p w:rsidR="00A17909" w:rsidRPr="00E5443F" w:rsidRDefault="00A17909" w:rsidP="00A17909">
      <w:pPr>
        <w:pStyle w:val="ConsPlusNonformat"/>
        <w:jc w:val="both"/>
        <w:rPr>
          <w:rFonts w:ascii="Times New Roman" w:hAnsi="Times New Roman" w:cs="Times New Roman"/>
        </w:rPr>
      </w:pPr>
    </w:p>
    <w:p w:rsidR="00A17909" w:rsidRPr="00C7310E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7310E"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услуги: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2259"/>
        <w:gridCol w:w="1370"/>
        <w:gridCol w:w="1388"/>
        <w:gridCol w:w="1223"/>
        <w:gridCol w:w="1262"/>
        <w:gridCol w:w="1238"/>
        <w:gridCol w:w="1157"/>
        <w:gridCol w:w="915"/>
        <w:gridCol w:w="1445"/>
        <w:gridCol w:w="1538"/>
      </w:tblGrid>
      <w:tr w:rsidR="00A17909" w:rsidRPr="00E5443F" w:rsidTr="00DD1CAA">
        <w:tc>
          <w:tcPr>
            <w:tcW w:w="399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Уникальны</w:t>
            </w:r>
            <w:r w:rsidRPr="00E5443F">
              <w:rPr>
                <w:rFonts w:ascii="Times New Roman" w:hAnsi="Times New Roman" w:cs="Times New Roman"/>
              </w:rPr>
              <w:lastRenderedPageBreak/>
              <w:t>й номер реестровой записи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</w:t>
            </w:r>
            <w:r w:rsidRPr="00E5443F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E5443F">
              <w:rPr>
                <w:rFonts w:ascii="Times New Roman" w:hAnsi="Times New Roman" w:cs="Times New Roman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1104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lastRenderedPageBreak/>
              <w:t xml:space="preserve">Показатель объема муниципальной </w:t>
            </w:r>
            <w:r w:rsidRPr="00E5443F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lastRenderedPageBreak/>
              <w:t>Значение</w:t>
            </w:r>
          </w:p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lastRenderedPageBreak/>
              <w:t>показателя объема муниципальной услуги</w:t>
            </w:r>
          </w:p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443F">
              <w:rPr>
                <w:rFonts w:ascii="Times New Roman" w:hAnsi="Times New Roman" w:cs="Times New Roman"/>
              </w:rPr>
              <w:lastRenderedPageBreak/>
              <w:t>Средне-</w:t>
            </w:r>
            <w:r w:rsidRPr="00E5443F">
              <w:rPr>
                <w:rFonts w:ascii="Times New Roman" w:hAnsi="Times New Roman" w:cs="Times New Roman"/>
              </w:rPr>
              <w:lastRenderedPageBreak/>
              <w:t>годовой</w:t>
            </w:r>
            <w:proofErr w:type="gramEnd"/>
            <w:r w:rsidRPr="00E5443F">
              <w:rPr>
                <w:rFonts w:ascii="Times New Roman" w:hAnsi="Times New Roman" w:cs="Times New Roman"/>
              </w:rPr>
              <w:t xml:space="preserve"> размер платы (цена, тариф)</w:t>
            </w:r>
          </w:p>
        </w:tc>
      </w:tr>
      <w:tr w:rsidR="00A17909" w:rsidRPr="00E5443F" w:rsidTr="00DD1CAA">
        <w:tc>
          <w:tcPr>
            <w:tcW w:w="399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E5443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482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909" w:rsidRPr="00E5443F" w:rsidTr="00DD1CAA">
        <w:tc>
          <w:tcPr>
            <w:tcW w:w="399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2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909" w:rsidRPr="00E5443F" w:rsidTr="00DD1CAA">
        <w:tc>
          <w:tcPr>
            <w:tcW w:w="399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4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13</w:t>
            </w:r>
          </w:p>
        </w:tc>
      </w:tr>
      <w:tr w:rsidR="00A17909" w:rsidRPr="00E5443F" w:rsidTr="00DD1CAA">
        <w:tc>
          <w:tcPr>
            <w:tcW w:w="399" w:type="pct"/>
            <w:shd w:val="clear" w:color="auto" w:fill="auto"/>
            <w:vAlign w:val="center"/>
          </w:tcPr>
          <w:p w:rsidR="00A17909" w:rsidRPr="0049437C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437C">
              <w:rPr>
                <w:rFonts w:ascii="Times New Roman" w:hAnsi="Times New Roman" w:cs="Times New Roman"/>
              </w:rPr>
              <w:t>87030096298703010011103410000000000000510110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17909" w:rsidRPr="00E5443F" w:rsidRDefault="00A17909" w:rsidP="00D55F0A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создание условий для организации и проведение олимпиад, конкурсов, </w:t>
            </w:r>
            <w:proofErr w:type="spellStart"/>
            <w:proofErr w:type="gramStart"/>
            <w:r w:rsidRPr="00E5443F">
              <w:rPr>
                <w:rFonts w:ascii="Times New Roman" w:hAnsi="Times New Roman" w:cs="Times New Roman"/>
              </w:rPr>
              <w:t>мероприя-тий</w:t>
            </w:r>
            <w:proofErr w:type="spellEnd"/>
            <w:proofErr w:type="gramEnd"/>
            <w:r w:rsidRPr="00E5443F">
              <w:rPr>
                <w:rFonts w:ascii="Times New Roman" w:hAnsi="Times New Roman" w:cs="Times New Roman"/>
              </w:rPr>
              <w:t>, направленных на выявление и развитие у обучающихся интеллектуальных и творческих способно-</w:t>
            </w:r>
            <w:proofErr w:type="spellStart"/>
            <w:r w:rsidRPr="00E5443F">
              <w:rPr>
                <w:rFonts w:ascii="Times New Roman" w:hAnsi="Times New Roman" w:cs="Times New Roman"/>
              </w:rPr>
              <w:t>стей</w:t>
            </w:r>
            <w:proofErr w:type="spellEnd"/>
            <w:r w:rsidRPr="00E5443F">
              <w:rPr>
                <w:rFonts w:ascii="Times New Roman" w:hAnsi="Times New Roman" w:cs="Times New Roman"/>
              </w:rPr>
              <w:t>, способностей к занятиям физической культурой и спортом, интереса к научной (научно-</w:t>
            </w:r>
            <w:proofErr w:type="spellStart"/>
            <w:r w:rsidRPr="00E5443F">
              <w:rPr>
                <w:rFonts w:ascii="Times New Roman" w:hAnsi="Times New Roman" w:cs="Times New Roman"/>
              </w:rPr>
              <w:t>исследова</w:t>
            </w:r>
            <w:proofErr w:type="spellEnd"/>
            <w:r w:rsidRPr="00E5443F">
              <w:rPr>
                <w:rFonts w:ascii="Times New Roman" w:hAnsi="Times New Roman" w:cs="Times New Roman"/>
              </w:rPr>
              <w:t>-</w:t>
            </w:r>
            <w:proofErr w:type="spellStart"/>
            <w:r w:rsidRPr="00E5443F">
              <w:rPr>
                <w:rFonts w:ascii="Times New Roman" w:hAnsi="Times New Roman" w:cs="Times New Roman"/>
              </w:rPr>
              <w:t>тельской</w:t>
            </w:r>
            <w:proofErr w:type="spellEnd"/>
            <w:r w:rsidRPr="00E5443F">
              <w:rPr>
                <w:rFonts w:ascii="Times New Roman" w:hAnsi="Times New Roman" w:cs="Times New Roman"/>
              </w:rPr>
              <w:t>) деятельно-</w:t>
            </w:r>
            <w:proofErr w:type="spellStart"/>
            <w:r w:rsidRPr="00E5443F">
              <w:rPr>
                <w:rFonts w:ascii="Times New Roman" w:hAnsi="Times New Roman" w:cs="Times New Roman"/>
              </w:rPr>
              <w:t>сти</w:t>
            </w:r>
            <w:proofErr w:type="spellEnd"/>
            <w:r w:rsidRPr="00E5443F">
              <w:rPr>
                <w:rFonts w:ascii="Times New Roman" w:hAnsi="Times New Roman" w:cs="Times New Roman"/>
              </w:rPr>
              <w:t xml:space="preserve">, творческой </w:t>
            </w:r>
            <w:proofErr w:type="spellStart"/>
            <w:r w:rsidRPr="00E5443F">
              <w:rPr>
                <w:rFonts w:ascii="Times New Roman" w:hAnsi="Times New Roman" w:cs="Times New Roman"/>
              </w:rPr>
              <w:t>дея</w:t>
            </w:r>
            <w:proofErr w:type="spellEnd"/>
            <w:r w:rsidRPr="00E5443F">
              <w:rPr>
                <w:rFonts w:ascii="Times New Roman" w:hAnsi="Times New Roman" w:cs="Times New Roman"/>
              </w:rPr>
              <w:t>-тельности, физкультур-но-спорт</w:t>
            </w:r>
            <w:r w:rsidR="00D55F0A">
              <w:rPr>
                <w:rFonts w:ascii="Times New Roman" w:hAnsi="Times New Roman" w:cs="Times New Roman"/>
              </w:rPr>
              <w:t>.</w:t>
            </w:r>
            <w:r w:rsidRPr="00E5443F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    нет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обучающихся,</w:t>
            </w:r>
            <w:r w:rsidRPr="00E5443F">
              <w:rPr>
                <w:rFonts w:ascii="Times New Roman" w:hAnsi="Times New Roman" w:cs="Times New Roman"/>
              </w:rPr>
              <w:t xml:space="preserve"> (человек)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110341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810F5"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3810F5">
        <w:rPr>
          <w:rFonts w:ascii="Times New Roman" w:hAnsi="Times New Roman" w:cs="Times New Roman"/>
          <w:sz w:val="22"/>
          <w:szCs w:val="22"/>
          <w:u w:val="single"/>
        </w:rPr>
        <w:t>10.</w:t>
      </w:r>
    </w:p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0F5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1559"/>
        <w:gridCol w:w="7087"/>
      </w:tblGrid>
      <w:tr w:rsidR="00A17909" w:rsidRPr="00E5443F" w:rsidTr="00DD1CAA">
        <w:tc>
          <w:tcPr>
            <w:tcW w:w="14991" w:type="dxa"/>
            <w:gridSpan w:val="5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17909" w:rsidRPr="00E5443F" w:rsidTr="00DD1CAA">
        <w:tc>
          <w:tcPr>
            <w:tcW w:w="180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87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7909" w:rsidRPr="00E5443F" w:rsidTr="00DD1CAA">
        <w:tc>
          <w:tcPr>
            <w:tcW w:w="180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5</w:t>
            </w:r>
          </w:p>
        </w:tc>
      </w:tr>
      <w:tr w:rsidR="00A17909" w:rsidRPr="00E5443F" w:rsidTr="00DD1CAA">
        <w:tc>
          <w:tcPr>
            <w:tcW w:w="1809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087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A17909" w:rsidRPr="00E5443F" w:rsidRDefault="00A17909" w:rsidP="00A17909">
      <w:pPr>
        <w:pStyle w:val="ConsPlusNonformat"/>
        <w:jc w:val="both"/>
        <w:rPr>
          <w:rFonts w:ascii="Times New Roman" w:hAnsi="Times New Roman" w:cs="Times New Roman"/>
        </w:rPr>
      </w:pPr>
    </w:p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0F5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0F5">
        <w:rPr>
          <w:rFonts w:ascii="Times New Roman" w:hAnsi="Times New Roman" w:cs="Times New Roman"/>
          <w:sz w:val="22"/>
          <w:szCs w:val="22"/>
        </w:rPr>
        <w:t xml:space="preserve">5.1. Нормативные правовые акты, регулирующие порядок оказания муниципальной услуги: </w:t>
      </w:r>
    </w:p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0F5">
        <w:rPr>
          <w:rFonts w:ascii="Times New Roman" w:hAnsi="Times New Roman" w:cs="Times New Roman"/>
          <w:sz w:val="22"/>
          <w:szCs w:val="22"/>
        </w:rPr>
        <w:t>Приказ Мин</w:t>
      </w:r>
      <w:r>
        <w:rPr>
          <w:rFonts w:ascii="Times New Roman" w:hAnsi="Times New Roman" w:cs="Times New Roman"/>
          <w:sz w:val="22"/>
          <w:szCs w:val="22"/>
        </w:rPr>
        <w:t xml:space="preserve">истерства </w:t>
      </w:r>
      <w:r w:rsidRPr="003810F5">
        <w:rPr>
          <w:rFonts w:ascii="Times New Roman" w:hAnsi="Times New Roman" w:cs="Times New Roman"/>
          <w:sz w:val="22"/>
          <w:szCs w:val="22"/>
        </w:rPr>
        <w:t>обр</w:t>
      </w:r>
      <w:r>
        <w:rPr>
          <w:rFonts w:ascii="Times New Roman" w:hAnsi="Times New Roman" w:cs="Times New Roman"/>
          <w:sz w:val="22"/>
          <w:szCs w:val="22"/>
        </w:rPr>
        <w:t xml:space="preserve">азования и </w:t>
      </w:r>
      <w:r w:rsidRPr="003810F5">
        <w:rPr>
          <w:rFonts w:ascii="Times New Roman" w:hAnsi="Times New Roman" w:cs="Times New Roman"/>
          <w:sz w:val="22"/>
          <w:szCs w:val="22"/>
        </w:rPr>
        <w:t>науки  № 267 «Об утверждении Порядка проведения олимпиад школьников»;</w:t>
      </w:r>
      <w:r w:rsidRPr="003810F5">
        <w:rPr>
          <w:sz w:val="22"/>
          <w:szCs w:val="22"/>
        </w:rPr>
        <w:t xml:space="preserve"> </w:t>
      </w:r>
      <w:r w:rsidRPr="003810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0F5">
        <w:rPr>
          <w:rFonts w:ascii="Times New Roman" w:hAnsi="Times New Roman" w:cs="Times New Roman"/>
          <w:sz w:val="22"/>
          <w:szCs w:val="22"/>
        </w:rPr>
        <w:t>Федеральный закон от 29.12.2012 № 273-ФЗ «Об образовании в Российской Федерации».</w:t>
      </w:r>
    </w:p>
    <w:p w:rsidR="00A17909" w:rsidRPr="003810F5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10F5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379"/>
        <w:gridCol w:w="4002"/>
      </w:tblGrid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Классное собрание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Текущие дела </w:t>
            </w:r>
            <w:r>
              <w:rPr>
                <w:sz w:val="20"/>
                <w:szCs w:val="20"/>
              </w:rPr>
              <w:t>обучаю</w:t>
            </w:r>
            <w:r w:rsidRPr="00E5443F">
              <w:rPr>
                <w:sz w:val="20"/>
                <w:szCs w:val="20"/>
              </w:rPr>
              <w:t>щихся, иная информация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Еженедельно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Текущие дела </w:t>
            </w:r>
            <w:r>
              <w:rPr>
                <w:sz w:val="20"/>
                <w:szCs w:val="20"/>
              </w:rPr>
              <w:t>обучаю</w:t>
            </w:r>
            <w:r w:rsidRPr="00E5443F">
              <w:rPr>
                <w:sz w:val="20"/>
                <w:szCs w:val="20"/>
              </w:rPr>
              <w:t>щихся, иная информация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Ежемесячно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lastRenderedPageBreak/>
              <w:t>Информационные письма родителям (законным представителям)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Текущие дела </w:t>
            </w:r>
            <w:r>
              <w:rPr>
                <w:sz w:val="20"/>
                <w:szCs w:val="20"/>
              </w:rPr>
              <w:t>обучаю</w:t>
            </w:r>
            <w:r w:rsidRPr="00E5443F">
              <w:rPr>
                <w:sz w:val="20"/>
                <w:szCs w:val="20"/>
              </w:rPr>
              <w:t>щихся, иная информация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По мере  необходимости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Официальный сайт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Нормативно-правовые акты, новости, информация об образовательной организации и учителях,   итоги приема, итоги мероприятий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B23217" w:rsidP="00DD1CAA">
            <w:pPr>
              <w:jc w:val="both"/>
              <w:rPr>
                <w:sz w:val="20"/>
                <w:szCs w:val="20"/>
              </w:rPr>
            </w:pPr>
            <w:hyperlink r:id="rId8" w:history="1">
              <w:r w:rsidR="00A17909" w:rsidRPr="00A17909">
                <w:rPr>
                  <w:color w:val="0000FF"/>
                  <w:sz w:val="20"/>
                  <w:szCs w:val="20"/>
                  <w:u w:val="single"/>
                  <w:lang w:val="en-US"/>
                </w:rPr>
                <w:t>cdt</w:t>
              </w:r>
              <w:r w:rsidR="00A17909" w:rsidRPr="00A17909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="00A17909" w:rsidRPr="00A17909">
                <w:rPr>
                  <w:color w:val="0000FF"/>
                  <w:sz w:val="20"/>
                  <w:szCs w:val="20"/>
                  <w:u w:val="single"/>
                  <w:lang w:val="en-US"/>
                </w:rPr>
                <w:t>HH</w:t>
              </w:r>
              <w:r w:rsidR="00A17909" w:rsidRPr="00A17909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="00A17909" w:rsidRPr="00A17909">
                <w:rPr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="00A17909" w:rsidRPr="00A17909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A17909" w:rsidRPr="00A17909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A17909" w:rsidRPr="00A17909">
              <w:rPr>
                <w:sz w:val="20"/>
                <w:szCs w:val="20"/>
              </w:rPr>
              <w:t>,</w:t>
            </w:r>
            <w:r w:rsidR="00A17909">
              <w:rPr>
                <w:sz w:val="20"/>
                <w:szCs w:val="20"/>
              </w:rPr>
              <w:t xml:space="preserve"> обновляется регулярно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Публичный отчет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Итоги работы организации за год, анализ, перспективы</w:t>
            </w:r>
          </w:p>
        </w:tc>
        <w:tc>
          <w:tcPr>
            <w:tcW w:w="4002" w:type="dxa"/>
            <w:shd w:val="clear" w:color="auto" w:fill="auto"/>
          </w:tcPr>
          <w:p w:rsidR="00A17909" w:rsidRPr="00A17909" w:rsidRDefault="00A17909" w:rsidP="00A17909">
            <w:pPr>
              <w:jc w:val="both"/>
              <w:rPr>
                <w:sz w:val="20"/>
                <w:szCs w:val="20"/>
              </w:rPr>
            </w:pPr>
            <w:proofErr w:type="gramStart"/>
            <w:r w:rsidRPr="00A17909">
              <w:rPr>
                <w:sz w:val="20"/>
                <w:szCs w:val="20"/>
              </w:rPr>
              <w:t>Прове</w:t>
            </w:r>
            <w:r>
              <w:rPr>
                <w:sz w:val="20"/>
                <w:szCs w:val="20"/>
              </w:rPr>
              <w:t xml:space="preserve">дён </w:t>
            </w:r>
            <w:r w:rsidRPr="00A17909">
              <w:rPr>
                <w:sz w:val="20"/>
                <w:szCs w:val="20"/>
              </w:rPr>
              <w:t xml:space="preserve"> 8</w:t>
            </w:r>
            <w:proofErr w:type="gramEnd"/>
            <w:r w:rsidRPr="00A17909">
              <w:rPr>
                <w:sz w:val="20"/>
                <w:szCs w:val="20"/>
              </w:rPr>
              <w:t xml:space="preserve"> февраля  2017года  в</w:t>
            </w:r>
          </w:p>
          <w:p w:rsidR="00A17909" w:rsidRPr="00E5443F" w:rsidRDefault="00A17909" w:rsidP="00A17909">
            <w:pPr>
              <w:jc w:val="both"/>
              <w:rPr>
                <w:sz w:val="20"/>
                <w:szCs w:val="20"/>
              </w:rPr>
            </w:pPr>
            <w:r w:rsidRPr="00A17909">
              <w:rPr>
                <w:sz w:val="20"/>
                <w:szCs w:val="20"/>
              </w:rPr>
              <w:t>18-00 ч</w:t>
            </w:r>
            <w:r w:rsidR="00D11931">
              <w:rPr>
                <w:sz w:val="20"/>
                <w:szCs w:val="20"/>
              </w:rPr>
              <w:t>асов в помещении «Би - квартал», отчёт размещён  на сайте учреждения</w:t>
            </w:r>
          </w:p>
        </w:tc>
      </w:tr>
    </w:tbl>
    <w:p w:rsidR="00A17909" w:rsidRPr="00E5443F" w:rsidRDefault="00A17909" w:rsidP="00A1790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A17909" w:rsidRPr="00E5443F" w:rsidRDefault="00A17909" w:rsidP="00A1790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443F">
        <w:rPr>
          <w:rFonts w:ascii="Times New Roman" w:hAnsi="Times New Roman" w:cs="Times New Roman"/>
          <w:b/>
        </w:rPr>
        <w:t xml:space="preserve">Раздел  </w:t>
      </w:r>
      <w:r>
        <w:rPr>
          <w:rFonts w:ascii="Times New Roman" w:hAnsi="Times New Roman" w:cs="Times New Roman"/>
          <w:b/>
        </w:rPr>
        <w:t>2</w:t>
      </w:r>
      <w:r w:rsidRPr="00E5443F">
        <w:rPr>
          <w:rFonts w:ascii="Times New Roman" w:hAnsi="Times New Roman" w:cs="Times New Roman"/>
        </w:rPr>
        <w:t xml:space="preserve"> </w:t>
      </w:r>
    </w:p>
    <w:p w:rsidR="00A17909" w:rsidRPr="00E5443F" w:rsidRDefault="00A17909" w:rsidP="00A17909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937" w:type="dxa"/>
        <w:tblLook w:val="04A0" w:firstRow="1" w:lastRow="0" w:firstColumn="1" w:lastColumn="0" w:noHBand="0" w:noVBand="1"/>
      </w:tblPr>
      <w:tblGrid>
        <w:gridCol w:w="9034"/>
        <w:gridCol w:w="3157"/>
        <w:gridCol w:w="2746"/>
      </w:tblGrid>
      <w:tr w:rsidR="00A17909" w:rsidRPr="00A87C6C" w:rsidTr="00DD1CAA">
        <w:trPr>
          <w:trHeight w:val="736"/>
        </w:trPr>
        <w:tc>
          <w:tcPr>
            <w:tcW w:w="9464" w:type="dxa"/>
            <w:shd w:val="clear" w:color="auto" w:fill="auto"/>
          </w:tcPr>
          <w:p w:rsidR="00A17909" w:rsidRPr="00A87C6C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C6C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муниципальной услуги: </w:t>
            </w:r>
            <w:r w:rsidRPr="00A87C6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Реализация дополнительных общеобразовательных общеразвивающих программ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A17909" w:rsidRPr="00A87C6C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C6C">
              <w:rPr>
                <w:rFonts w:ascii="Times New Roman" w:hAnsi="Times New Roman" w:cs="Times New Roman"/>
                <w:sz w:val="22"/>
                <w:szCs w:val="22"/>
              </w:rPr>
              <w:t>Уникальный номер</w:t>
            </w:r>
          </w:p>
          <w:p w:rsidR="00A17909" w:rsidRPr="00A87C6C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C6C">
              <w:rPr>
                <w:rFonts w:ascii="Times New Roman" w:hAnsi="Times New Roman" w:cs="Times New Roman"/>
                <w:sz w:val="22"/>
                <w:szCs w:val="22"/>
              </w:rPr>
              <w:t xml:space="preserve">по базовому </w:t>
            </w:r>
          </w:p>
          <w:p w:rsidR="00A17909" w:rsidRPr="00A87C6C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7C6C">
              <w:rPr>
                <w:rFonts w:ascii="Times New Roman" w:hAnsi="Times New Roman" w:cs="Times New Roman"/>
                <w:sz w:val="22"/>
                <w:szCs w:val="22"/>
              </w:rPr>
              <w:t>(отраслевому) перечню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909" w:rsidRPr="00A87C6C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C6C">
              <w:rPr>
                <w:rFonts w:ascii="Times New Roman" w:hAnsi="Times New Roman" w:cs="Times New Roman"/>
                <w:sz w:val="22"/>
                <w:szCs w:val="22"/>
              </w:rPr>
              <w:t xml:space="preserve">11020000000000001002100 </w:t>
            </w:r>
          </w:p>
        </w:tc>
      </w:tr>
    </w:tbl>
    <w:p w:rsidR="00A17909" w:rsidRPr="00A87C6C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87C6C">
        <w:rPr>
          <w:rFonts w:ascii="Times New Roman" w:hAnsi="Times New Roman" w:cs="Times New Roman"/>
          <w:sz w:val="22"/>
          <w:szCs w:val="22"/>
        </w:rPr>
        <w:t xml:space="preserve">2. Категории потребителей муниципальной услуги: </w:t>
      </w:r>
      <w:r w:rsidRPr="00A87C6C">
        <w:rPr>
          <w:rFonts w:ascii="Times New Roman" w:hAnsi="Times New Roman" w:cs="Times New Roman"/>
          <w:sz w:val="22"/>
          <w:szCs w:val="22"/>
          <w:u w:val="single"/>
        </w:rPr>
        <w:t>физические лица.</w:t>
      </w:r>
    </w:p>
    <w:p w:rsidR="00A17909" w:rsidRPr="00A87C6C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7C6C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муниципальной услуги:</w:t>
      </w:r>
    </w:p>
    <w:p w:rsidR="00A17909" w:rsidRPr="00A87C6C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7C6C"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услуги: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698"/>
        <w:gridCol w:w="1469"/>
        <w:gridCol w:w="1627"/>
        <w:gridCol w:w="1480"/>
        <w:gridCol w:w="1137"/>
        <w:gridCol w:w="2400"/>
        <w:gridCol w:w="1167"/>
        <w:gridCol w:w="833"/>
        <w:gridCol w:w="1346"/>
      </w:tblGrid>
      <w:tr w:rsidR="00A17909" w:rsidRPr="00E5443F" w:rsidTr="002C2850">
        <w:tc>
          <w:tcPr>
            <w:tcW w:w="592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77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A17909" w:rsidRPr="00E5443F" w:rsidTr="002C2850">
        <w:tc>
          <w:tcPr>
            <w:tcW w:w="592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5443F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5443F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E5443F">
              <w:rPr>
                <w:sz w:val="20"/>
                <w:szCs w:val="20"/>
              </w:rPr>
              <w:t>ние показателя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</w:t>
            </w:r>
            <w:r w:rsidRPr="00E5443F">
              <w:rPr>
                <w:sz w:val="20"/>
                <w:szCs w:val="20"/>
              </w:rPr>
              <w:t>теля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E5443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2016 год</w:t>
            </w:r>
          </w:p>
        </w:tc>
      </w:tr>
      <w:tr w:rsidR="00A17909" w:rsidRPr="00E5443F" w:rsidTr="002C2850">
        <w:tc>
          <w:tcPr>
            <w:tcW w:w="592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1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909" w:rsidRPr="00E5443F" w:rsidTr="002C2850">
        <w:tc>
          <w:tcPr>
            <w:tcW w:w="592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1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10</w:t>
            </w:r>
          </w:p>
        </w:tc>
      </w:tr>
      <w:tr w:rsidR="00A17909" w:rsidRPr="00E5443F" w:rsidTr="002C2850">
        <w:trPr>
          <w:trHeight w:val="1128"/>
        </w:trPr>
        <w:tc>
          <w:tcPr>
            <w:tcW w:w="592" w:type="pct"/>
            <w:shd w:val="clear" w:color="auto" w:fill="auto"/>
            <w:vAlign w:val="center"/>
          </w:tcPr>
          <w:p w:rsidR="00A17909" w:rsidRPr="00AE191A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91A">
              <w:rPr>
                <w:rFonts w:ascii="Times New Roman" w:hAnsi="Times New Roman" w:cs="Times New Roman"/>
              </w:rPr>
              <w:t>870300962987030100111Г42001000300705003100101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5443F">
              <w:rPr>
                <w:rFonts w:ascii="Times New Roman" w:hAnsi="Times New Roman" w:cs="Times New Roman"/>
              </w:rPr>
              <w:t>дополни-тельных</w:t>
            </w:r>
            <w:proofErr w:type="gramEnd"/>
            <w:r w:rsidRPr="00E5443F">
              <w:rPr>
                <w:rFonts w:ascii="Times New Roman" w:hAnsi="Times New Roman" w:cs="Times New Roman"/>
              </w:rPr>
              <w:t xml:space="preserve"> общеобразовательных </w:t>
            </w:r>
            <w:proofErr w:type="spellStart"/>
            <w:r w:rsidRPr="00E5443F">
              <w:rPr>
                <w:rFonts w:ascii="Times New Roman" w:hAnsi="Times New Roman" w:cs="Times New Roman"/>
              </w:rPr>
              <w:t>общеразви-вающих</w:t>
            </w:r>
            <w:proofErr w:type="spellEnd"/>
            <w:r w:rsidRPr="00E5443F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 </w:t>
            </w:r>
          </w:p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Очная</w:t>
            </w:r>
          </w:p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43F">
              <w:rPr>
                <w:rFonts w:ascii="Times New Roman" w:hAnsi="Times New Roman" w:cs="Times New Roman"/>
              </w:rPr>
              <w:t>Cправочник</w:t>
            </w:r>
            <w:proofErr w:type="spellEnd"/>
            <w:r w:rsidRPr="00E5443F">
              <w:rPr>
                <w:rFonts w:ascii="Times New Roman" w:hAnsi="Times New Roman" w:cs="Times New Roman"/>
              </w:rPr>
              <w:t xml:space="preserve"> форм (условий) оказания услуги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A17909" w:rsidRPr="00E5443F" w:rsidRDefault="00A17909" w:rsidP="002C2850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r w:rsidRPr="00E5443F">
              <w:rPr>
                <w:rFonts w:ascii="Times New Roman" w:hAnsi="Times New Roman" w:cs="Times New Roman"/>
              </w:rPr>
              <w:t>,  осваивающих</w:t>
            </w:r>
            <w:proofErr w:type="gramEnd"/>
            <w:r w:rsidRPr="00E5443F">
              <w:rPr>
                <w:rFonts w:ascii="Times New Roman" w:hAnsi="Times New Roman" w:cs="Times New Roman"/>
              </w:rPr>
              <w:t xml:space="preserve">  дополнительные общеобразовательные общеразвивающие </w:t>
            </w:r>
            <w:r>
              <w:rPr>
                <w:rFonts w:ascii="Times New Roman" w:hAnsi="Times New Roman" w:cs="Times New Roman"/>
              </w:rPr>
              <w:t>програм</w:t>
            </w:r>
            <w:r w:rsidRPr="00E5443F">
              <w:rPr>
                <w:rFonts w:ascii="Times New Roman" w:hAnsi="Times New Roman" w:cs="Times New Roman"/>
              </w:rPr>
              <w:t xml:space="preserve">мы от общего числа обучающихся по основным </w:t>
            </w:r>
            <w:r w:rsidR="002C2850">
              <w:rPr>
                <w:rFonts w:ascii="Times New Roman" w:hAnsi="Times New Roman" w:cs="Times New Roman"/>
              </w:rPr>
              <w:t>общеобразо</w:t>
            </w:r>
            <w:r w:rsidRPr="00E5443F">
              <w:rPr>
                <w:rFonts w:ascii="Times New Roman" w:hAnsi="Times New Roman" w:cs="Times New Roman"/>
              </w:rPr>
              <w:t xml:space="preserve">вательным программам  </w:t>
            </w:r>
            <w:r w:rsidR="002C2850">
              <w:rPr>
                <w:rFonts w:ascii="Times New Roman" w:hAnsi="Times New Roman" w:cs="Times New Roman"/>
              </w:rPr>
              <w:t>д</w:t>
            </w:r>
            <w:r w:rsidRPr="00E5443F">
              <w:rPr>
                <w:rFonts w:ascii="Times New Roman" w:hAnsi="Times New Roman" w:cs="Times New Roman"/>
              </w:rPr>
              <w:t>ошкольного, начального, основного, среднего общего образования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17909" w:rsidRPr="00E5443F" w:rsidRDefault="00A17909" w:rsidP="002C2850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110200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A17909" w:rsidRPr="00CA63D2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63D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17909" w:rsidRPr="00E5443F" w:rsidRDefault="00A17909" w:rsidP="00A17909">
      <w:pPr>
        <w:pStyle w:val="ConsPlusNonformat"/>
        <w:jc w:val="both"/>
        <w:rPr>
          <w:rFonts w:ascii="Times New Roman" w:hAnsi="Times New Roman" w:cs="Times New Roman"/>
        </w:rPr>
      </w:pPr>
    </w:p>
    <w:p w:rsidR="00A17909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16BA"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6016BA">
        <w:rPr>
          <w:rFonts w:ascii="Times New Roman" w:hAnsi="Times New Roman" w:cs="Times New Roman"/>
          <w:sz w:val="22"/>
          <w:szCs w:val="22"/>
          <w:u w:val="single"/>
        </w:rPr>
        <w:t>10.</w:t>
      </w:r>
    </w:p>
    <w:p w:rsidR="002C2850" w:rsidRPr="006016BA" w:rsidRDefault="002C2850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lastRenderedPageBreak/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2257"/>
        <w:gridCol w:w="1369"/>
        <w:gridCol w:w="1387"/>
        <w:gridCol w:w="1224"/>
        <w:gridCol w:w="1263"/>
        <w:gridCol w:w="1239"/>
        <w:gridCol w:w="1156"/>
        <w:gridCol w:w="914"/>
        <w:gridCol w:w="1446"/>
        <w:gridCol w:w="1337"/>
      </w:tblGrid>
      <w:tr w:rsidR="00A17909" w:rsidRPr="00E5443F" w:rsidTr="00DD1CAA">
        <w:tc>
          <w:tcPr>
            <w:tcW w:w="404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695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41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19" w:type="pct"/>
            <w:gridSpan w:val="3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Значение</w:t>
            </w:r>
          </w:p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показателя объема муниципальной услуги</w:t>
            </w:r>
          </w:p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443F">
              <w:rPr>
                <w:rFonts w:ascii="Times New Roman" w:hAnsi="Times New Roman" w:cs="Times New Roman"/>
              </w:rPr>
              <w:t>Средне-годовой</w:t>
            </w:r>
            <w:proofErr w:type="gramEnd"/>
            <w:r w:rsidRPr="00E5443F">
              <w:rPr>
                <w:rFonts w:ascii="Times New Roman" w:hAnsi="Times New Roman" w:cs="Times New Roman"/>
              </w:rPr>
              <w:t xml:space="preserve"> размер платы (цена, тариф)</w:t>
            </w:r>
          </w:p>
        </w:tc>
      </w:tr>
      <w:tr w:rsidR="00A17909" w:rsidRPr="00E5443F" w:rsidTr="00DD1CAA">
        <w:tc>
          <w:tcPr>
            <w:tcW w:w="404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jc w:val="center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E5443F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489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909" w:rsidRPr="00E5443F" w:rsidTr="00DD1CAA">
        <w:tc>
          <w:tcPr>
            <w:tcW w:w="404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89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7909" w:rsidRPr="00E5443F" w:rsidTr="00DD1CAA">
        <w:tc>
          <w:tcPr>
            <w:tcW w:w="404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9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" w:type="pct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13</w:t>
            </w:r>
          </w:p>
        </w:tc>
      </w:tr>
      <w:tr w:rsidR="00A17909" w:rsidRPr="00E5443F" w:rsidTr="00DD1CAA">
        <w:tc>
          <w:tcPr>
            <w:tcW w:w="404" w:type="pct"/>
            <w:shd w:val="clear" w:color="auto" w:fill="auto"/>
            <w:vAlign w:val="center"/>
          </w:tcPr>
          <w:p w:rsidR="00A17909" w:rsidRPr="00AE191A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191A">
              <w:rPr>
                <w:rFonts w:ascii="Times New Roman" w:hAnsi="Times New Roman" w:cs="Times New Roman"/>
              </w:rPr>
              <w:t>870300962987030100111Г42001000300705003100101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5443F">
              <w:rPr>
                <w:rFonts w:ascii="Times New Roman" w:hAnsi="Times New Roman" w:cs="Times New Roman"/>
              </w:rPr>
              <w:t>дополни-тельных</w:t>
            </w:r>
            <w:proofErr w:type="gramEnd"/>
            <w:r w:rsidRPr="00E5443F">
              <w:rPr>
                <w:rFonts w:ascii="Times New Roman" w:hAnsi="Times New Roman" w:cs="Times New Roman"/>
              </w:rPr>
              <w:t xml:space="preserve"> общеобразовательных общеразвивающих программ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Очная</w:t>
            </w:r>
          </w:p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</w:t>
            </w:r>
            <w:r w:rsidRPr="00E5443F">
              <w:rPr>
                <w:rFonts w:ascii="Times New Roman" w:hAnsi="Times New Roman" w:cs="Times New Roman"/>
              </w:rPr>
              <w:t>щихся</w:t>
            </w:r>
            <w:r>
              <w:rPr>
                <w:rFonts w:ascii="Times New Roman" w:hAnsi="Times New Roman" w:cs="Times New Roman"/>
              </w:rPr>
              <w:t>,</w:t>
            </w:r>
            <w:r w:rsidRPr="00E5443F">
              <w:rPr>
                <w:rFonts w:ascii="Times New Roman" w:hAnsi="Times New Roman" w:cs="Times New Roman"/>
              </w:rPr>
              <w:t xml:space="preserve"> (человек)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110200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16BA">
        <w:rPr>
          <w:rFonts w:ascii="Times New Roman" w:hAnsi="Times New Roman" w:cs="Times New Roman"/>
          <w:sz w:val="22"/>
          <w:szCs w:val="22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6016BA">
        <w:rPr>
          <w:rFonts w:ascii="Times New Roman" w:hAnsi="Times New Roman" w:cs="Times New Roman"/>
          <w:sz w:val="22"/>
          <w:szCs w:val="22"/>
          <w:u w:val="single"/>
        </w:rPr>
        <w:t>10.</w:t>
      </w: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1559"/>
        <w:gridCol w:w="7087"/>
      </w:tblGrid>
      <w:tr w:rsidR="00A17909" w:rsidRPr="00E5443F" w:rsidTr="00DD1CAA">
        <w:tc>
          <w:tcPr>
            <w:tcW w:w="14991" w:type="dxa"/>
            <w:gridSpan w:val="5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17909" w:rsidRPr="00E5443F" w:rsidTr="00DD1CAA">
        <w:tc>
          <w:tcPr>
            <w:tcW w:w="180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87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7909" w:rsidRPr="00E5443F" w:rsidTr="00DD1CAA">
        <w:tc>
          <w:tcPr>
            <w:tcW w:w="180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5</w:t>
            </w:r>
          </w:p>
        </w:tc>
      </w:tr>
      <w:tr w:rsidR="00A17909" w:rsidRPr="00E5443F" w:rsidTr="00DD1CAA">
        <w:tc>
          <w:tcPr>
            <w:tcW w:w="1809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835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701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7087" w:type="dxa"/>
            <w:shd w:val="clear" w:color="auto" w:fill="auto"/>
          </w:tcPr>
          <w:p w:rsidR="00A17909" w:rsidRPr="00E5443F" w:rsidRDefault="00A17909" w:rsidP="00DD1CAA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A17909" w:rsidRPr="00E5443F" w:rsidRDefault="00A17909" w:rsidP="00A17909">
      <w:pPr>
        <w:pStyle w:val="ConsPlusNonformat"/>
        <w:jc w:val="both"/>
        <w:rPr>
          <w:rFonts w:ascii="Times New Roman" w:hAnsi="Times New Roman" w:cs="Times New Roman"/>
        </w:rPr>
      </w:pP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>5. Порядок оказания муниципальной услуги:</w:t>
      </w: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>Приказ Министерства образования и науки Российской Федерации от 29 августа 2013 года № 1008 «Порядок организации образовательной деятельности по дополнительным общеобразовательным программам  различной направленности»;</w:t>
      </w: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>Распоряжение Правительства Российской Федерации  от 4 сентября 2014 года № 1726-р;</w:t>
      </w: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 xml:space="preserve">Федеральный закон от 06.10.2003 № 131-ФЗ «Об общих принципах организации местного самоуправления в Российской Федерации»;  </w:t>
      </w: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>Федеральный закон от 29.12.2012 № 273-ФЗ «Об образовании в Российской Федерации».</w:t>
      </w:r>
    </w:p>
    <w:p w:rsidR="00A17909" w:rsidRPr="006016BA" w:rsidRDefault="00A17909" w:rsidP="00A17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16BA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услуги: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379"/>
        <w:gridCol w:w="4002"/>
      </w:tblGrid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Классное собрание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Текущие дела </w:t>
            </w:r>
            <w:r>
              <w:rPr>
                <w:sz w:val="20"/>
                <w:szCs w:val="20"/>
              </w:rPr>
              <w:t>обучаю</w:t>
            </w:r>
            <w:r w:rsidRPr="00E5443F">
              <w:rPr>
                <w:sz w:val="20"/>
                <w:szCs w:val="20"/>
              </w:rPr>
              <w:t>щихся, иная информация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По мере необходимости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Текущие дела </w:t>
            </w:r>
            <w:r>
              <w:rPr>
                <w:sz w:val="20"/>
                <w:szCs w:val="20"/>
              </w:rPr>
              <w:t>обучаю</w:t>
            </w:r>
            <w:r w:rsidRPr="00E5443F">
              <w:rPr>
                <w:sz w:val="20"/>
                <w:szCs w:val="20"/>
              </w:rPr>
              <w:t>щихся, иная информация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1 раз в четверть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Информационные письма родителям (законным представителям)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Текущие дела </w:t>
            </w:r>
            <w:r>
              <w:rPr>
                <w:sz w:val="20"/>
                <w:szCs w:val="20"/>
              </w:rPr>
              <w:t>обучаю</w:t>
            </w:r>
            <w:r w:rsidRPr="00E5443F">
              <w:rPr>
                <w:sz w:val="20"/>
                <w:szCs w:val="20"/>
              </w:rPr>
              <w:t>щихся, иная информация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По мере  необходимости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 xml:space="preserve">Официальный сайт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Нормативно-правовые акты, новости, информация об образовательной организации и учителях, итоги работы</w:t>
            </w:r>
          </w:p>
        </w:tc>
        <w:tc>
          <w:tcPr>
            <w:tcW w:w="4002" w:type="dxa"/>
            <w:shd w:val="clear" w:color="auto" w:fill="auto"/>
          </w:tcPr>
          <w:p w:rsidR="00A17909" w:rsidRPr="00E5443F" w:rsidRDefault="00D55F0A" w:rsidP="00D55F0A">
            <w:pPr>
              <w:jc w:val="both"/>
              <w:rPr>
                <w:sz w:val="20"/>
                <w:szCs w:val="20"/>
              </w:rPr>
            </w:pPr>
            <w:r w:rsidRPr="00D55F0A">
              <w:rPr>
                <w:sz w:val="20"/>
                <w:szCs w:val="20"/>
              </w:rPr>
              <w:t>cdt-HH@mail.ru, обновляется регулярно</w:t>
            </w:r>
          </w:p>
        </w:tc>
      </w:tr>
      <w:tr w:rsidR="00A17909" w:rsidRPr="00E5443F" w:rsidTr="00DD1CAA">
        <w:tc>
          <w:tcPr>
            <w:tcW w:w="4644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Публичный отчет</w:t>
            </w:r>
          </w:p>
        </w:tc>
        <w:tc>
          <w:tcPr>
            <w:tcW w:w="6379" w:type="dxa"/>
            <w:shd w:val="clear" w:color="auto" w:fill="auto"/>
          </w:tcPr>
          <w:p w:rsidR="00A17909" w:rsidRPr="00E5443F" w:rsidRDefault="00A17909" w:rsidP="00DD1CAA">
            <w:pPr>
              <w:jc w:val="both"/>
              <w:rPr>
                <w:sz w:val="20"/>
                <w:szCs w:val="20"/>
              </w:rPr>
            </w:pPr>
            <w:r w:rsidRPr="00E5443F">
              <w:rPr>
                <w:sz w:val="20"/>
                <w:szCs w:val="20"/>
              </w:rPr>
              <w:t>Итоги работы организации за год, анализ, перспективы</w:t>
            </w:r>
          </w:p>
        </w:tc>
        <w:tc>
          <w:tcPr>
            <w:tcW w:w="4002" w:type="dxa"/>
            <w:shd w:val="clear" w:color="auto" w:fill="auto"/>
          </w:tcPr>
          <w:p w:rsidR="00D55F0A" w:rsidRPr="00D55F0A" w:rsidRDefault="00D55F0A" w:rsidP="00D55F0A">
            <w:pPr>
              <w:jc w:val="both"/>
              <w:rPr>
                <w:sz w:val="20"/>
                <w:szCs w:val="20"/>
              </w:rPr>
            </w:pPr>
            <w:r w:rsidRPr="00D55F0A">
              <w:rPr>
                <w:sz w:val="20"/>
                <w:szCs w:val="20"/>
              </w:rPr>
              <w:t>прове</w:t>
            </w:r>
            <w:r>
              <w:rPr>
                <w:sz w:val="20"/>
                <w:szCs w:val="20"/>
              </w:rPr>
              <w:t>дён</w:t>
            </w:r>
            <w:r w:rsidRPr="00D55F0A">
              <w:rPr>
                <w:sz w:val="20"/>
                <w:szCs w:val="20"/>
              </w:rPr>
              <w:t xml:space="preserve"> 8 </w:t>
            </w:r>
            <w:proofErr w:type="gramStart"/>
            <w:r w:rsidRPr="00D55F0A">
              <w:rPr>
                <w:sz w:val="20"/>
                <w:szCs w:val="20"/>
              </w:rPr>
              <w:t>февраля  2017</w:t>
            </w:r>
            <w:proofErr w:type="gramEnd"/>
            <w:r w:rsidRPr="00D55F0A">
              <w:rPr>
                <w:sz w:val="20"/>
                <w:szCs w:val="20"/>
              </w:rPr>
              <w:t>года  в</w:t>
            </w:r>
          </w:p>
          <w:p w:rsidR="00A17909" w:rsidRPr="00E5443F" w:rsidRDefault="00D55F0A" w:rsidP="00D55F0A">
            <w:pPr>
              <w:jc w:val="both"/>
              <w:rPr>
                <w:sz w:val="20"/>
                <w:szCs w:val="20"/>
              </w:rPr>
            </w:pPr>
            <w:r w:rsidRPr="00D55F0A">
              <w:rPr>
                <w:sz w:val="20"/>
                <w:szCs w:val="20"/>
              </w:rPr>
              <w:t>18-00 ч</w:t>
            </w:r>
            <w:r w:rsidR="00D11931">
              <w:rPr>
                <w:sz w:val="20"/>
                <w:szCs w:val="20"/>
              </w:rPr>
              <w:t>асов в помещении «Би - квартал»,</w:t>
            </w:r>
            <w:r w:rsidR="00D11931">
              <w:t xml:space="preserve"> </w:t>
            </w:r>
            <w:r w:rsidR="00D11931" w:rsidRPr="00D11931">
              <w:rPr>
                <w:sz w:val="20"/>
                <w:szCs w:val="20"/>
              </w:rPr>
              <w:t>отчёт размещён  на сайте учреждения</w:t>
            </w:r>
          </w:p>
        </w:tc>
      </w:tr>
    </w:tbl>
    <w:p w:rsidR="00A17909" w:rsidRPr="00E5443F" w:rsidRDefault="00A17909" w:rsidP="00A17909">
      <w:pPr>
        <w:pStyle w:val="ConsPlusNonformat"/>
        <w:rPr>
          <w:rFonts w:ascii="Times New Roman" w:hAnsi="Times New Roman" w:cs="Times New Roman"/>
          <w:b/>
        </w:rPr>
      </w:pPr>
    </w:p>
    <w:p w:rsidR="00A17909" w:rsidRPr="00E5443F" w:rsidRDefault="00A17909" w:rsidP="00A1790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443F">
        <w:rPr>
          <w:rFonts w:ascii="Times New Roman" w:hAnsi="Times New Roman" w:cs="Times New Roman"/>
          <w:b/>
        </w:rPr>
        <w:lastRenderedPageBreak/>
        <w:t>Часть 3. Прочие сведения о муниципальном задании</w:t>
      </w:r>
    </w:p>
    <w:p w:rsidR="00A17909" w:rsidRPr="00E5443F" w:rsidRDefault="00A17909" w:rsidP="00A17909">
      <w:pPr>
        <w:pStyle w:val="ConsPlusNonformat"/>
        <w:jc w:val="both"/>
        <w:rPr>
          <w:rFonts w:ascii="Times New Roman" w:hAnsi="Times New Roman" w:cs="Times New Roman"/>
        </w:rPr>
      </w:pP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t xml:space="preserve">1. Основания для досрочного прекращения выполнения муниципального задания: </w:t>
      </w:r>
    </w:p>
    <w:p w:rsidR="00A17909" w:rsidRPr="00CE4372" w:rsidRDefault="00A17909" w:rsidP="00A17909">
      <w:pPr>
        <w:ind w:firstLine="709"/>
        <w:jc w:val="both"/>
        <w:rPr>
          <w:b/>
          <w:sz w:val="22"/>
          <w:szCs w:val="22"/>
        </w:rPr>
      </w:pPr>
      <w:r w:rsidRPr="00CE4372">
        <w:rPr>
          <w:b/>
          <w:sz w:val="22"/>
          <w:szCs w:val="22"/>
        </w:rPr>
        <w:t xml:space="preserve">- </w:t>
      </w:r>
      <w:r w:rsidRPr="00CE4372">
        <w:rPr>
          <w:sz w:val="22"/>
          <w:szCs w:val="22"/>
        </w:rPr>
        <w:t>аннулирование лицензии, лишение государственной аккредитации;</w:t>
      </w:r>
      <w:r w:rsidRPr="00CE4372">
        <w:rPr>
          <w:b/>
          <w:sz w:val="22"/>
          <w:szCs w:val="22"/>
        </w:rPr>
        <w:t xml:space="preserve"> </w:t>
      </w:r>
    </w:p>
    <w:p w:rsidR="00A17909" w:rsidRPr="00CE4372" w:rsidRDefault="00A17909" w:rsidP="00A17909">
      <w:pPr>
        <w:ind w:firstLine="709"/>
        <w:rPr>
          <w:sz w:val="22"/>
          <w:szCs w:val="22"/>
        </w:rPr>
      </w:pPr>
      <w:r w:rsidRPr="00CE4372">
        <w:rPr>
          <w:sz w:val="22"/>
          <w:szCs w:val="22"/>
        </w:rPr>
        <w:t xml:space="preserve">- ликвидация или реорганизация </w:t>
      </w:r>
      <w:r>
        <w:rPr>
          <w:sz w:val="22"/>
          <w:szCs w:val="22"/>
        </w:rPr>
        <w:t>организации</w:t>
      </w:r>
      <w:r w:rsidRPr="00CE4372">
        <w:rPr>
          <w:sz w:val="22"/>
          <w:szCs w:val="22"/>
        </w:rPr>
        <w:t>;</w:t>
      </w:r>
    </w:p>
    <w:p w:rsidR="00A17909" w:rsidRPr="00CE4372" w:rsidRDefault="00A17909" w:rsidP="00A179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E4372">
        <w:rPr>
          <w:sz w:val="22"/>
          <w:szCs w:val="22"/>
        </w:rPr>
        <w:t xml:space="preserve">- исключение оказываемых </w:t>
      </w:r>
      <w:r>
        <w:rPr>
          <w:sz w:val="22"/>
          <w:szCs w:val="22"/>
        </w:rPr>
        <w:t xml:space="preserve">организацией </w:t>
      </w:r>
      <w:r w:rsidRPr="00CE4372">
        <w:rPr>
          <w:sz w:val="22"/>
          <w:szCs w:val="22"/>
        </w:rPr>
        <w:t xml:space="preserve"> услуг (выполняемых работ) из перечня услуг (работ), оказываемых (выполняемых) </w:t>
      </w:r>
      <w:r>
        <w:rPr>
          <w:sz w:val="22"/>
          <w:szCs w:val="22"/>
        </w:rPr>
        <w:t xml:space="preserve">организацией </w:t>
      </w:r>
      <w:r w:rsidRPr="00CE4372">
        <w:rPr>
          <w:sz w:val="22"/>
          <w:szCs w:val="22"/>
        </w:rPr>
        <w:t xml:space="preserve"> в качестве основных видов деятельности;</w:t>
      </w:r>
    </w:p>
    <w:p w:rsidR="00A17909" w:rsidRPr="00CE4372" w:rsidRDefault="00A17909" w:rsidP="00A179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E4372">
        <w:rPr>
          <w:sz w:val="22"/>
          <w:szCs w:val="22"/>
        </w:rPr>
        <w:t>- нецелевое использование субсидии, выделенной на обеспечение выполнения муниципального задания.</w:t>
      </w: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t xml:space="preserve">2.  </w:t>
      </w:r>
      <w:proofErr w:type="gramStart"/>
      <w:r w:rsidRPr="00CE4372">
        <w:rPr>
          <w:rFonts w:ascii="Times New Roman" w:hAnsi="Times New Roman" w:cs="Times New Roman"/>
          <w:sz w:val="22"/>
          <w:szCs w:val="22"/>
        </w:rPr>
        <w:t>Иная  информация</w:t>
      </w:r>
      <w:proofErr w:type="gramEnd"/>
      <w:r w:rsidRPr="00CE4372">
        <w:rPr>
          <w:rFonts w:ascii="Times New Roman" w:hAnsi="Times New Roman" w:cs="Times New Roman"/>
          <w:sz w:val="22"/>
          <w:szCs w:val="22"/>
        </w:rPr>
        <w:t xml:space="preserve">,  необходимая для выполнения (контроля за выполнением)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CE4372">
        <w:rPr>
          <w:rFonts w:ascii="Times New Roman" w:hAnsi="Times New Roman" w:cs="Times New Roman"/>
          <w:sz w:val="22"/>
          <w:szCs w:val="22"/>
        </w:rPr>
        <w:t xml:space="preserve"> задания ежеквартально до 10 числа месяца следующего за отчетным  образовательной организации:</w:t>
      </w: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t xml:space="preserve">- отчет о выполнении плана финансово-хозяйственной деятельности </w:t>
      </w:r>
      <w:r>
        <w:rPr>
          <w:rFonts w:ascii="Times New Roman" w:hAnsi="Times New Roman" w:cs="Times New Roman"/>
          <w:sz w:val="22"/>
          <w:szCs w:val="22"/>
        </w:rPr>
        <w:t>организации</w:t>
      </w:r>
      <w:r w:rsidRPr="00CE4372">
        <w:rPr>
          <w:rFonts w:ascii="Times New Roman" w:hAnsi="Times New Roman" w:cs="Times New Roman"/>
          <w:sz w:val="22"/>
          <w:szCs w:val="22"/>
        </w:rPr>
        <w:t>, а также иную бухгалтерскую отчетность в соответствии с приказом Министерства финансов РФ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t>- информация о средней заработной плате работников образовательной организации по форме, в соответствии с запросом Департамента образования, культуры и спорта Чукотского автономного округа</w:t>
      </w: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t>- иная информация в сроки, указанные Департаментом образования, культуры и спорта Чукотского автономного округа.</w:t>
      </w: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t>3. Порядок контроля за выполнением муниципального задания: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8080"/>
      </w:tblGrid>
      <w:tr w:rsidR="00A17909" w:rsidRPr="00E5443F" w:rsidTr="00145A03">
        <w:tc>
          <w:tcPr>
            <w:tcW w:w="1668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81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8080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Органы местного самоуправления муниципального района, осуществляющие контроль в сфере образования за выполнением муниципального задания</w:t>
            </w:r>
          </w:p>
        </w:tc>
      </w:tr>
      <w:tr w:rsidR="00A17909" w:rsidRPr="00E5443F" w:rsidTr="00145A03">
        <w:tc>
          <w:tcPr>
            <w:tcW w:w="1668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3</w:t>
            </w:r>
          </w:p>
        </w:tc>
      </w:tr>
      <w:tr w:rsidR="00A17909" w:rsidRPr="00E5443F" w:rsidTr="00145A03">
        <w:tc>
          <w:tcPr>
            <w:tcW w:w="1668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Внутренний</w:t>
            </w:r>
          </w:p>
        </w:tc>
        <w:tc>
          <w:tcPr>
            <w:tcW w:w="481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в соответствии с Планом проверок, утверждаемым приказом Управления социальной политики Администрации муниципального образования </w:t>
            </w:r>
            <w:proofErr w:type="spellStart"/>
            <w:r w:rsidRPr="00E5443F">
              <w:rPr>
                <w:rFonts w:ascii="Times New Roman" w:hAnsi="Times New Roman" w:cs="Times New Roman"/>
              </w:rPr>
              <w:t>Билибинский</w:t>
            </w:r>
            <w:proofErr w:type="spellEnd"/>
            <w:r w:rsidRPr="00E5443F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8080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Управление социальной политики Администрации муниципального образования </w:t>
            </w:r>
            <w:proofErr w:type="spellStart"/>
            <w:r w:rsidRPr="00E5443F">
              <w:rPr>
                <w:rFonts w:ascii="Times New Roman" w:hAnsi="Times New Roman" w:cs="Times New Roman"/>
              </w:rPr>
              <w:t>Билибинский</w:t>
            </w:r>
            <w:proofErr w:type="spellEnd"/>
            <w:r w:rsidRPr="00E5443F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17909" w:rsidRPr="00E5443F" w:rsidTr="00145A03">
        <w:tc>
          <w:tcPr>
            <w:tcW w:w="1668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819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8080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 xml:space="preserve">Управление социальной политики Администрации муниципального образования </w:t>
            </w:r>
            <w:proofErr w:type="spellStart"/>
            <w:r w:rsidRPr="00E5443F">
              <w:rPr>
                <w:rFonts w:ascii="Times New Roman" w:hAnsi="Times New Roman" w:cs="Times New Roman"/>
              </w:rPr>
              <w:t>Билибинский</w:t>
            </w:r>
            <w:proofErr w:type="spellEnd"/>
            <w:r w:rsidRPr="00E5443F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A17909" w:rsidRPr="00E5443F" w:rsidTr="00145A03">
        <w:tc>
          <w:tcPr>
            <w:tcW w:w="1668" w:type="dxa"/>
            <w:shd w:val="clear" w:color="auto" w:fill="auto"/>
          </w:tcPr>
          <w:p w:rsidR="00A17909" w:rsidRPr="00E5443F" w:rsidRDefault="00A17909" w:rsidP="00DD1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5443F">
              <w:rPr>
                <w:rFonts w:ascii="Times New Roman" w:hAnsi="Times New Roman" w:cs="Times New Roman"/>
              </w:rPr>
              <w:t>Внешний</w:t>
            </w:r>
          </w:p>
        </w:tc>
        <w:tc>
          <w:tcPr>
            <w:tcW w:w="4819" w:type="dxa"/>
            <w:shd w:val="clear" w:color="auto" w:fill="auto"/>
          </w:tcPr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июня 2017 года</w:t>
            </w: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45A03" w:rsidRDefault="00145A03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17909" w:rsidRPr="00E5443F" w:rsidRDefault="00AF11A4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июня 2017 года </w:t>
            </w:r>
          </w:p>
        </w:tc>
        <w:tc>
          <w:tcPr>
            <w:tcW w:w="8080" w:type="dxa"/>
            <w:shd w:val="clear" w:color="auto" w:fill="auto"/>
          </w:tcPr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в составе заместителя начальника Управления социальной политики – начальника отдела образования, начальника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Чукотскому автономному округу  по </w:t>
            </w:r>
            <w:proofErr w:type="spellStart"/>
            <w:r>
              <w:rPr>
                <w:rFonts w:ascii="Times New Roman" w:hAnsi="Times New Roman" w:cs="Times New Roman"/>
              </w:rPr>
              <w:t>Билибинскому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району, Главного государственного инспектора </w:t>
            </w:r>
            <w:proofErr w:type="spellStart"/>
            <w:r>
              <w:rPr>
                <w:rFonts w:ascii="Times New Roman" w:hAnsi="Times New Roman" w:cs="Times New Roman"/>
              </w:rPr>
              <w:t>Билибинского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 по пожарному надзору- начальника отделения надзорной деятельности и профилактической работы  по </w:t>
            </w:r>
            <w:proofErr w:type="spellStart"/>
            <w:r>
              <w:rPr>
                <w:rFonts w:ascii="Times New Roman" w:hAnsi="Times New Roman" w:cs="Times New Roman"/>
              </w:rPr>
              <w:t>Билибинскому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муниципальному району ГУ МЧС России по ЧАО, заместителя начальника Межмуниципального отдела Министерства внутренних дел России «</w:t>
            </w:r>
            <w:proofErr w:type="spellStart"/>
            <w:r>
              <w:rPr>
                <w:rFonts w:ascii="Times New Roman" w:hAnsi="Times New Roman" w:cs="Times New Roman"/>
              </w:rPr>
              <w:t>Билибинский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охране общественного порядка, районного педиатра ГБУЗ «Межрайонный медицинский центр города </w:t>
            </w:r>
            <w:proofErr w:type="spellStart"/>
            <w:r>
              <w:rPr>
                <w:rFonts w:ascii="Times New Roman" w:hAnsi="Times New Roman" w:cs="Times New Roman"/>
              </w:rPr>
              <w:t>Билибино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145A03">
              <w:rPr>
                <w:rFonts w:ascii="Times New Roman" w:hAnsi="Times New Roman" w:cs="Times New Roman"/>
              </w:rPr>
              <w:t xml:space="preserve"> произвела приемку ДОЛ «Молодая гвардия».</w:t>
            </w:r>
          </w:p>
          <w:p w:rsidR="00145A03" w:rsidRPr="00145A03" w:rsidRDefault="00145A03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Выводы комиссии: ДОЛ «Молодая гвардия» к приёму детей - готов</w:t>
            </w:r>
          </w:p>
          <w:p w:rsidR="00F370B7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17909" w:rsidRDefault="002C2850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проверка Отделением надзорной деятельности и профилактической работы  по </w:t>
            </w:r>
            <w:proofErr w:type="spellStart"/>
            <w:r>
              <w:rPr>
                <w:rFonts w:ascii="Times New Roman" w:hAnsi="Times New Roman" w:cs="Times New Roman"/>
              </w:rPr>
              <w:t>Билибинскому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муниципальному району в отношении  зданий и сооружений, а также территории ДОЛ «Молодая гвардия», подверженных угрозе лесных пожаров, в соответствии с поручением заместителя председателя Правительства РФ </w:t>
            </w:r>
            <w:proofErr w:type="spellStart"/>
            <w:r>
              <w:rPr>
                <w:rFonts w:ascii="Times New Roman" w:hAnsi="Times New Roman" w:cs="Times New Roman"/>
              </w:rPr>
              <w:t>А.Г.Хлопонина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24 апреля 2017 года №АХ-П9-25</w:t>
            </w:r>
          </w:p>
          <w:p w:rsidR="002C2850" w:rsidRDefault="002C2850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Нарушений не выявлено </w:t>
            </w:r>
            <w:r>
              <w:rPr>
                <w:rFonts w:ascii="Times New Roman" w:hAnsi="Times New Roman" w:cs="Times New Roman"/>
              </w:rPr>
              <w:t>(Акт проверки №26 от 19 июня 2017 года)</w:t>
            </w:r>
          </w:p>
          <w:p w:rsidR="00F370B7" w:rsidRPr="002C2850" w:rsidRDefault="00F370B7" w:rsidP="002C2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5A03" w:rsidRDefault="00145A03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lastRenderedPageBreak/>
        <w:t>4. Требования к отчетности о выполнении муниципального задания:</w:t>
      </w:r>
    </w:p>
    <w:p w:rsidR="00A17909" w:rsidRPr="00CE4372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4372">
        <w:rPr>
          <w:rFonts w:ascii="Times New Roman" w:hAnsi="Times New Roman" w:cs="Times New Roman"/>
          <w:sz w:val="22"/>
          <w:szCs w:val="22"/>
        </w:rPr>
        <w:t>4.1.  Периодичность  представления  отчетов  о  выполнении муниципального задания: ежеквартально</w:t>
      </w:r>
    </w:p>
    <w:p w:rsidR="00A17909" w:rsidRPr="00CE4372" w:rsidRDefault="00A17909" w:rsidP="00A17909">
      <w:pPr>
        <w:ind w:firstLine="709"/>
        <w:jc w:val="both"/>
        <w:rPr>
          <w:sz w:val="22"/>
          <w:szCs w:val="22"/>
        </w:rPr>
      </w:pPr>
      <w:r w:rsidRPr="00CE4372">
        <w:rPr>
          <w:sz w:val="22"/>
          <w:szCs w:val="22"/>
        </w:rPr>
        <w:t>4.2. Сроки представления отчетов о выполнении муниципального задания: ежеквартально до 10 числа месяца, следующего за отчетным.</w:t>
      </w:r>
    </w:p>
    <w:p w:rsidR="00A17909" w:rsidRPr="00CE4372" w:rsidRDefault="00A17909" w:rsidP="00A17909">
      <w:pPr>
        <w:ind w:firstLine="709"/>
        <w:jc w:val="both"/>
        <w:rPr>
          <w:sz w:val="22"/>
          <w:szCs w:val="22"/>
        </w:rPr>
      </w:pPr>
      <w:r w:rsidRPr="00CE4372">
        <w:rPr>
          <w:sz w:val="22"/>
          <w:szCs w:val="22"/>
        </w:rPr>
        <w:t xml:space="preserve">4.3. Иные требования к отчетности о выполнении муниципального задания: при необходимости учреждение представляет Управлению социальной политики Администрации муниципального образования </w:t>
      </w:r>
      <w:proofErr w:type="spellStart"/>
      <w:r w:rsidRPr="00CE4372">
        <w:rPr>
          <w:sz w:val="22"/>
          <w:szCs w:val="22"/>
        </w:rPr>
        <w:t>Билибинский</w:t>
      </w:r>
      <w:proofErr w:type="spellEnd"/>
      <w:r w:rsidRPr="00CE4372">
        <w:rPr>
          <w:sz w:val="22"/>
          <w:szCs w:val="22"/>
        </w:rPr>
        <w:t xml:space="preserve"> муниципальный район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17909" w:rsidRPr="00E5443F" w:rsidRDefault="00A17909" w:rsidP="00A1790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E4372">
        <w:rPr>
          <w:rFonts w:ascii="Times New Roman" w:hAnsi="Times New Roman" w:cs="Times New Roman"/>
          <w:sz w:val="22"/>
          <w:szCs w:val="22"/>
        </w:rPr>
        <w:t>5. Иные показатели, связанные с выполнением муниципального задания, допустимое отклонение муниципального задания: допустимое (возможное) отклонение от выполнения муниципального задания, в пределах которого оно считается выполненным - не выше 10%.</w:t>
      </w:r>
    </w:p>
    <w:p w:rsidR="00A17909" w:rsidRDefault="00A17909" w:rsidP="00A17909">
      <w:pPr>
        <w:pStyle w:val="ConsPlusNonformat"/>
        <w:jc w:val="both"/>
      </w:pPr>
    </w:p>
    <w:p w:rsidR="00D11931" w:rsidRDefault="00D11931" w:rsidP="00A17909">
      <w:pPr>
        <w:pStyle w:val="ConsPlusNonformat"/>
        <w:jc w:val="both"/>
      </w:pPr>
    </w:p>
    <w:p w:rsidR="00D11931" w:rsidRPr="002C2850" w:rsidRDefault="005F0D8C" w:rsidP="00D11931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11931" w:rsidRPr="002C2850" w:rsidSect="002C2850">
          <w:footnotePr>
            <w:pos w:val="beneathText"/>
          </w:footnotePr>
          <w:endnotePr>
            <w:numFmt w:val="decimal"/>
          </w:endnotePr>
          <w:pgSz w:w="16840" w:h="11907" w:orient="landscape"/>
          <w:pgMar w:top="709" w:right="1134" w:bottom="284" w:left="1134" w:header="0" w:footer="0" w:gutter="0"/>
          <w:cols w:space="720"/>
        </w:sectPr>
      </w:pPr>
      <w:r w:rsidRPr="002C2850">
        <w:rPr>
          <w:rFonts w:ascii="Times New Roman" w:hAnsi="Times New Roman" w:cs="Times New Roman"/>
          <w:sz w:val="24"/>
          <w:szCs w:val="24"/>
        </w:rPr>
        <w:t>И.о.</w:t>
      </w:r>
      <w:r w:rsidR="002C2850">
        <w:rPr>
          <w:rFonts w:ascii="Times New Roman" w:hAnsi="Times New Roman" w:cs="Times New Roman"/>
          <w:sz w:val="24"/>
          <w:szCs w:val="24"/>
        </w:rPr>
        <w:t xml:space="preserve"> </w:t>
      </w:r>
      <w:r w:rsidRPr="002C2850">
        <w:rPr>
          <w:rFonts w:ascii="Times New Roman" w:hAnsi="Times New Roman" w:cs="Times New Roman"/>
          <w:sz w:val="24"/>
          <w:szCs w:val="24"/>
        </w:rPr>
        <w:t>д</w:t>
      </w:r>
      <w:r w:rsidR="00D11931" w:rsidRPr="002C2850">
        <w:rPr>
          <w:rFonts w:ascii="Times New Roman" w:hAnsi="Times New Roman" w:cs="Times New Roman"/>
          <w:sz w:val="24"/>
          <w:szCs w:val="24"/>
        </w:rPr>
        <w:t>иректор</w:t>
      </w:r>
      <w:r w:rsidRPr="002C2850">
        <w:rPr>
          <w:rFonts w:ascii="Times New Roman" w:hAnsi="Times New Roman" w:cs="Times New Roman"/>
          <w:sz w:val="24"/>
          <w:szCs w:val="24"/>
        </w:rPr>
        <w:t>а</w:t>
      </w:r>
      <w:r w:rsidR="00D11931" w:rsidRPr="002C2850">
        <w:rPr>
          <w:rFonts w:ascii="Times New Roman" w:hAnsi="Times New Roman" w:cs="Times New Roman"/>
          <w:sz w:val="24"/>
          <w:szCs w:val="24"/>
        </w:rPr>
        <w:t xml:space="preserve"> МАОУ ДО БР ЦДО                                                                 </w:t>
      </w:r>
      <w:r w:rsidRPr="002C2850">
        <w:rPr>
          <w:rFonts w:ascii="Times New Roman" w:hAnsi="Times New Roman" w:cs="Times New Roman"/>
          <w:sz w:val="24"/>
          <w:szCs w:val="24"/>
        </w:rPr>
        <w:t xml:space="preserve">      </w:t>
      </w:r>
      <w:r w:rsidR="002C2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C2850">
        <w:rPr>
          <w:rFonts w:ascii="Times New Roman" w:hAnsi="Times New Roman" w:cs="Times New Roman"/>
          <w:sz w:val="24"/>
          <w:szCs w:val="24"/>
        </w:rPr>
        <w:t xml:space="preserve">    </w:t>
      </w:r>
      <w:r w:rsidR="00D11931" w:rsidRPr="002C285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C2850">
        <w:rPr>
          <w:rFonts w:ascii="Times New Roman" w:hAnsi="Times New Roman" w:cs="Times New Roman"/>
          <w:sz w:val="24"/>
          <w:szCs w:val="24"/>
        </w:rPr>
        <w:t>Н.А.Левашко</w:t>
      </w:r>
      <w:proofErr w:type="spellEnd"/>
    </w:p>
    <w:p w:rsidR="00A17909" w:rsidRDefault="00A17909" w:rsidP="00A17909">
      <w:pPr>
        <w:pStyle w:val="ConsPlusNormal"/>
        <w:ind w:firstLine="540"/>
        <w:jc w:val="both"/>
        <w:rPr>
          <w:color w:val="FF0000"/>
        </w:rPr>
      </w:pPr>
    </w:p>
    <w:p w:rsidR="00A17909" w:rsidRPr="00EB2D24" w:rsidRDefault="00A17909" w:rsidP="00A17909"/>
    <w:p w:rsidR="00A2139F" w:rsidRDefault="00A2139F"/>
    <w:sectPr w:rsidR="00A2139F" w:rsidSect="000D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5AB"/>
    <w:rsid w:val="000D1114"/>
    <w:rsid w:val="00145A03"/>
    <w:rsid w:val="002C2850"/>
    <w:rsid w:val="005F0D8C"/>
    <w:rsid w:val="006B3847"/>
    <w:rsid w:val="006D1591"/>
    <w:rsid w:val="00A17909"/>
    <w:rsid w:val="00A2139F"/>
    <w:rsid w:val="00AF11A4"/>
    <w:rsid w:val="00B23217"/>
    <w:rsid w:val="00C545AB"/>
    <w:rsid w:val="00D0083F"/>
    <w:rsid w:val="00D11931"/>
    <w:rsid w:val="00D55F0A"/>
    <w:rsid w:val="00F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1713-8C70-4416-A28F-BD1065A6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1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-H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AE4A8C112D106BA863E365048C843E51412023982370283E1DF02A5Cp4C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AE4A8C112D106BA863E365048C843E51412023982370283E1DF02A5Cp4C6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dt-HH@mail.ru" TargetMode="External"/><Relationship Id="rId10" Type="http://schemas.openxmlformats.org/officeDocument/2006/relationships/hyperlink" Target="consultantplus://offline/ref=47AE4A8C112D106BA863E365048C843E51412023982370283E1DF02A5Cp4C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AE4A8C112D106BA863E365048C843E51412023982370283E1DF02A5Cp4C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531BB-5757-419B-94B0-2FC00C38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Котофф</cp:lastModifiedBy>
  <cp:revision>5</cp:revision>
  <cp:lastPrinted>2017-07-19T00:50:00Z</cp:lastPrinted>
  <dcterms:created xsi:type="dcterms:W3CDTF">2017-04-10T04:14:00Z</dcterms:created>
  <dcterms:modified xsi:type="dcterms:W3CDTF">2017-07-24T05:40:00Z</dcterms:modified>
</cp:coreProperties>
</file>